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Default="0097328C">
      <w:bookmarkStart w:id="0" w:name="_GoBack"/>
      <w:bookmarkEnd w:id="0"/>
    </w:p>
    <w:p w:rsidR="00AA4ED3" w:rsidRPr="00AA4ED3" w:rsidRDefault="00AA4ED3">
      <w:pPr>
        <w:rPr>
          <w:sz w:val="28"/>
          <w:szCs w:val="28"/>
        </w:rPr>
      </w:pPr>
      <w:r w:rsidRPr="00AA4ED3">
        <w:rPr>
          <w:rFonts w:ascii="Times New Roman" w:eastAsia="Times New Roman" w:hAnsi="Times New Roman" w:cs="Times New Roman"/>
          <w:sz w:val="28"/>
          <w:szCs w:val="28"/>
        </w:rPr>
        <w:t xml:space="preserve">80.2 </w:t>
      </w:r>
      <w:r w:rsidRPr="00AA4ED3">
        <w:rPr>
          <w:rFonts w:ascii="Times New Roman" w:eastAsia="Times New Roman" w:hAnsi="Times New Roman" w:cs="Times New Roman"/>
          <w:sz w:val="28"/>
          <w:szCs w:val="28"/>
        </w:rPr>
        <w:t>Изготовление макета казачьего двора.</w:t>
      </w:r>
      <w:hyperlink r:id="rId5" w:history="1">
        <w:r w:rsidRPr="00AA4E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https://stdpro.ru/tools-and-equipment/krasivye-no-neslozhnye-podelki-na-temu-kazachestvo-master-klass-po.html</w:t>
        </w:r>
      </w:hyperlink>
    </w:p>
    <w:sectPr w:rsidR="00AA4ED3" w:rsidRPr="00A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97328C"/>
    <w:rsid w:val="00A07769"/>
    <w:rsid w:val="00A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dpro.ru/tools-and-equipment/krasivye-no-neslozhnye-podelki-na-temu-kazachestvo-master-klass-p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2021-03-17T06:39:00Z</dcterms:modified>
</cp:coreProperties>
</file>